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i/>
          <w:iCs/>
        </w:rPr>
        <w:t xml:space="preserve">Modelo orientativo — Ladrillo.info · Normativa revisada al 05/10/2026</w:t>
      </w:r>
    </w:p>
    <w:p>
      <w:pPr>
        <w:pStyle w:val="BodyText"/>
      </w:pPr>
      <w:r>
        <w:rPr>
          <w:b/>
          <w:bCs/>
        </w:rPr>
        <w:t xml:space="preserve">AVISO:</w:t>
      </w:r>
      <w:r>
        <w:t xml:space="preserve"> </w:t>
      </w:r>
      <w:r>
        <w:t xml:space="preserve">Modelo orientativo de referencia. No constituye asesoramiento legal. Debe ser revisado, completado y adaptado por un profesional (abogado o escribano) a cada caso concreto y a la normativa vigente al momento de la firma. Los campos entre [CORCHETES] deben completarse y las opciones alternativas, elegirse suprimiendo las demás. Ladrillo.info no se responsabiliza por el uso que se haga de estos modelos.</w:t>
      </w:r>
    </w:p>
    <w:p>
      <w:r>
        <w:pict>
          <v:rect style="width:0;height:1.5pt" o:hralign="center" o:hrstd="t" o:hr="t"/>
        </w:pict>
      </w:r>
    </w:p>
    <w:bookmarkStart w:id="18" w:name="contrato-de-comodato"/>
    <w:p>
      <w:pPr>
        <w:pStyle w:val="Heading1"/>
      </w:pPr>
      <w:r>
        <w:t xml:space="preserve">CONTRATO DE COMODATO</w:t>
      </w:r>
    </w:p>
    <w:p>
      <w:pPr>
        <w:pStyle w:val="FirstParagraph"/>
      </w:pPr>
      <w:r>
        <w:t xml:space="preserve">En [LUGAR], a los [DÍA] días del mes de [MES] de [AÑO], entre [NOMBRE Y APELLIDO], DNI [N°], CUIT/CUIL [N°], estado civil [DETALLE], domicilio [DOMICILIO], correo electrónico [CORREO], en adelante «EL COMODANTE», y [NOMBRE Y APELLIDO], DNI [N°], CUIT/CUIL [N°], estado civil [DETALLE], domicilio [DOMICILIO], correo electrónico [CORREO], en adelante «EL COMODATARIO», se celebra el presente contrato de comodato.</w:t>
      </w:r>
    </w:p>
    <w:bookmarkStart w:id="9" w:name="primera-objeto-y-gratuidad"/>
    <w:p>
      <w:pPr>
        <w:pStyle w:val="Heading2"/>
      </w:pPr>
      <w:r>
        <w:t xml:space="preserve">PRIMERA — OBJETO Y GRATUIDAD</w:t>
      </w:r>
    </w:p>
    <w:p>
      <w:pPr>
        <w:pStyle w:val="FirstParagraph"/>
      </w:pPr>
      <w:r>
        <w:t xml:space="preserve">EL COMODANTE entrega a EL COMODATARIO, en COMODATO y a título GRATUITO, el uso del inmueble sito en [DIRECCIÓN COMPLETA Y UNIDAD], cuya titularidad acredita con el título inscripto en [REGISTRO Y MATRÍCULA].</w:t>
      </w:r>
    </w:p>
    <w:p>
      <w:pPr>
        <w:pStyle w:val="BodyText"/>
      </w:pPr>
      <w:r>
        <w:t xml:space="preserve">Las partes declaran expresamente que no existe ni existirá contraprestación alguna en dinero o en especie a cargo de EL COMODATARIO por el uso del inmueble, y que el presente NO constituye una locación. El pago de los gastos previstos en la cláusula CUARTA no tiene naturaleza de canon locativo.</w:t>
      </w:r>
    </w:p>
    <w:p>
      <w:pPr>
        <w:pStyle w:val="BodyText"/>
      </w:pPr>
      <w:r>
        <w:t xml:space="preserve">EL COMODATARIO recibe el inmueble en el estado que surge del acta de entrega e inventario que se agrega como ANEXO I.</w:t>
      </w:r>
    </w:p>
    <w:bookmarkEnd w:id="9"/>
    <w:bookmarkStart w:id="10" w:name="segunda-destino-y-causa-del-préstamo"/>
    <w:p>
      <w:pPr>
        <w:pStyle w:val="Heading2"/>
      </w:pPr>
      <w:r>
        <w:t xml:space="preserve">SEGUNDA — DESTINO Y CAUSA DEL PRÉSTAMO</w:t>
      </w:r>
    </w:p>
    <w:p>
      <w:pPr>
        <w:pStyle w:val="FirstParagraph"/>
      </w:pPr>
      <w:r>
        <w:t xml:space="preserve">El inmueble se presta con el siguiente destino, que constituye la causa determinante del contrato: [VIVIENDA DEL COMODATARIO Y SU GRUPO FAMILIAR MIENTRAS (CIRCUNSTANCIA) / DOMICILIO LEGAL, FISCAL Y COMERCIAL DE (RAZÓN SOCIAL), CUIT (N°) / CUIDADO Y MANTENIMIENTO DEL INMUEBLE MIENTRAS SE GESTIONA SU VENTA / OTRO: (DETALLE)].</w:t>
      </w:r>
    </w:p>
    <w:p>
      <w:pPr>
        <w:pStyle w:val="BodyText"/>
      </w:pPr>
      <w:r>
        <w:t xml:space="preserve">EL COMODATARIO no podrá cambiar el destino, ceder el comodato, prestar ni sublocar el inmueble, total o parcialmente, ni permitir que lo habiten personas distintas de las que se detallan: [NÓMINA Y VÍNCULO].</w:t>
      </w:r>
    </w:p>
    <w:p>
      <w:pPr>
        <w:pStyle w:val="BodyText"/>
      </w:pPr>
      <w:r>
        <w:t xml:space="preserve">NOTA PARA QUIEN COMPLETA: escribir la causa concreta es lo que después permite pedir la restitución cuando esa causa se termina. Un comodato sin destino ni plazo definido es el camino más corto a un juicio largo.</w:t>
      </w:r>
    </w:p>
    <w:bookmarkEnd w:id="10"/>
    <w:bookmarkStart w:id="11" w:name="tercera-plazo-y-restitución"/>
    <w:p>
      <w:pPr>
        <w:pStyle w:val="Heading2"/>
      </w:pPr>
      <w:r>
        <w:t xml:space="preserve">TERCERA — PLAZO Y RESTITUCIÓN</w:t>
      </w:r>
    </w:p>
    <w:p>
      <w:pPr>
        <w:pStyle w:val="FirstParagraph"/>
      </w:pPr>
      <w:r>
        <w:t xml:space="preserve">El comodato se conviene por el plazo de [CANTIDAD] [MESES / AÑOS], desde el [FECHA DE INICIO] hasta el [FECHA DE VENCIMIENTO], fecha en la que EL COMODATARIO deberá restituir el inmueble desocupado y con todas las llaves, sin necesidad de interpelación previa.</w:t>
      </w:r>
    </w:p>
    <w:p>
      <w:pPr>
        <w:pStyle w:val="BodyText"/>
      </w:pPr>
      <w:r>
        <w:t xml:space="preserve">Vencido el plazo, la permanencia de EL COMODATARIO no importará renovación ni tácita reconducción, y lo constituirá en tenedor precario, obligado a restituir de inmediato.</w:t>
      </w:r>
    </w:p>
    <w:p>
      <w:pPr>
        <w:pStyle w:val="BodyText"/>
      </w:pPr>
      <w:r>
        <w:t xml:space="preserve">RESTITUCIÓN ANTICIPADA. EL COMODANTE podrá exigir la restitución anticipada: (i) si sobreviniera una necesidad imprevista y urgente del inmueble; (ii) si EL COMODATARIO lo usara para un destino distinto del pactado; (iii) si falleciera EL COMODATARIO; o (iv) si incumpliera cualquier obligación de este contrato. A tal efecto cursará intimación fehaciente otorgando un plazo de [CANTIDAD: SUGERIDO 30] días corridos.</w:t>
      </w:r>
    </w:p>
    <w:p>
      <w:pPr>
        <w:pStyle w:val="BodyText"/>
      </w:pPr>
      <w:r>
        <w:t xml:space="preserve">EL COMODATARIO podrá restituir el inmueble en cualquier momento, notificando con [CANTIDAD: SUGERIDO 15] días corridos de anticipación, sin indemnización alguna.</w:t>
      </w:r>
    </w:p>
    <w:p>
      <w:pPr>
        <w:pStyle w:val="BodyText"/>
      </w:pPr>
      <w:r>
        <w:t xml:space="preserve">La demora en la restitución devengará, a modo de cláusula penal, la suma de [MONTO] por cada día de ocupación indebida, sin perjuicio de la acción de desalojo y de los daños.</w:t>
      </w:r>
    </w:p>
    <w:bookmarkEnd w:id="11"/>
    <w:bookmarkStart w:id="12" w:name="cuarta-gastos-a-cargo-del-comodatario"/>
    <w:p>
      <w:pPr>
        <w:pStyle w:val="Heading2"/>
      </w:pPr>
      <w:r>
        <w:t xml:space="preserve">CUARTA — GASTOS A CARGO DEL COMODATARIO</w:t>
      </w:r>
    </w:p>
    <w:p>
      <w:pPr>
        <w:pStyle w:val="FirstParagraph"/>
      </w:pPr>
      <w:r>
        <w:t xml:space="preserve">Quedan a cargo exclusivo de EL COMODATARIO, por tratarse de gastos ordinarios de uso y conservación de la cosa prestada (artículo 1536 inciso c del Código Civil y Comercial): los servicios de consumo (luz, gas, agua, internet), las expensas ordinarias y el mantenimiento habitual del inmueble.</w:t>
      </w:r>
    </w:p>
    <w:p>
      <w:pPr>
        <w:pStyle w:val="BodyText"/>
      </w:pPr>
      <w:r>
        <w:t xml:space="preserve">Quedan a cargo de EL COMODANTE: el impuesto inmobiliario, el ABL o tasa municipal, las expensas extraordinarias y las reparaciones estructurales.</w:t>
      </w:r>
    </w:p>
    <w:p>
      <w:pPr>
        <w:pStyle w:val="BodyText"/>
      </w:pPr>
      <w:r>
        <w:t xml:space="preserve">EL COMODATARIO no tiene derecho a reembolso por los gastos ordinarios realizados, ni derecho de retención sobre el inmueble por ningún concepto.</w:t>
      </w:r>
    </w:p>
    <w:bookmarkEnd w:id="12"/>
    <w:bookmarkStart w:id="13" w:name="X807c2fdb852dd8c4fa79bb7d1fac2fc6462def5"/>
    <w:p>
      <w:pPr>
        <w:pStyle w:val="Heading2"/>
      </w:pPr>
      <w:r>
        <w:t xml:space="preserve">QUINTA — CONSERVACIÓN, MEJORAS Y RESPONSABILIDAD</w:t>
      </w:r>
    </w:p>
    <w:p>
      <w:pPr>
        <w:pStyle w:val="FirstParagraph"/>
      </w:pPr>
      <w:r>
        <w:t xml:space="preserve">EL COMODATARIO debe guardar y conservar el inmueble con la mayor diligencia, y responde por su pérdida o deterioro, incluso si proviene de caso fortuito, cuando lo hubiera usado para un destino distinto del pactado o lo hubiera conservado en su poder vencido el plazo (artículo 1536 incisos a, b y e).</w:t>
      </w:r>
    </w:p>
    <w:p>
      <w:pPr>
        <w:pStyle w:val="BodyText"/>
      </w:pPr>
      <w:r>
        <w:t xml:space="preserve">No podrá realizar mejoras ni modificaciones sin consentimiento previo y escrito de EL COMODANTE. Las autorizadas quedarán en beneficio del inmueble sin derecho a reintegro.</w:t>
      </w:r>
    </w:p>
    <w:p>
      <w:pPr>
        <w:pStyle w:val="BodyText"/>
      </w:pPr>
      <w:r>
        <w:t xml:space="preserve">EL COMODATARIO deberá permitir a EL COMODANTE el ingreso al inmueble para verificar su estado, con aviso previo de [CANTIDAD: SUGERIDO 48] horas, y exhibirle los comprobantes de pago de los conceptos a su cargo cuando se lo requiera.</w:t>
      </w:r>
    </w:p>
    <w:p>
      <w:pPr>
        <w:pStyle w:val="BodyText"/>
      </w:pPr>
      <w:r>
        <w:t xml:space="preserve">[OPCIONAL: EL COMODATARIO contratará y mantendrá vigente un seguro de (COBERTURA) por una suma no inferior a (MONTO), con EL COMODANTE como beneficiario.]</w:t>
      </w:r>
    </w:p>
    <w:bookmarkEnd w:id="13"/>
    <w:bookmarkStart w:id="14" w:name="sexta-declaraciones"/>
    <w:p>
      <w:pPr>
        <w:pStyle w:val="Heading2"/>
      </w:pPr>
      <w:r>
        <w:t xml:space="preserve">SEXTA — DECLARACIONES</w:t>
      </w:r>
    </w:p>
    <w:p>
      <w:pPr>
        <w:pStyle w:val="FirstParagraph"/>
      </w:pPr>
      <w:r>
        <w:t xml:space="preserve">EL COMODATARIO declara que conoce el estado del inmueble, que lo recibe a su entera satisfacción y que su tenencia reconoce la titularidad de EL COMODANTE, a quien reconoce como único propietario, renunciando a invocar en el futuro posesión, animus domini, prescripción adquisitiva o derecho de ocupación de cualquier naturaleza sobre el inmueble.</w:t>
      </w:r>
    </w:p>
    <w:p>
      <w:pPr>
        <w:pStyle w:val="BodyText"/>
      </w:pPr>
      <w:r>
        <w:t xml:space="preserve">[SI EL DESTINO ES DOMICILIO FISCAL O COMERCIAL: EL COMODATARIO se obliga a dar de baja el domicilio ante los organismos correspondientes dentro de los (CANTIDAD) días de la restitución, y a mantener indemne a EL COMODANTE de toda notificación, intimación o sanción dirigida a ese domicilio por hechos propios.]</w:t>
      </w:r>
    </w:p>
    <w:bookmarkEnd w:id="14"/>
    <w:bookmarkStart w:id="15" w:name="séptima-notificaciones-y-jurisdicción"/>
    <w:p>
      <w:pPr>
        <w:pStyle w:val="Heading2"/>
      </w:pPr>
      <w:r>
        <w:t xml:space="preserve">SÉPTIMA — NOTIFICACIONES Y JURISDICCIÓN</w:t>
      </w:r>
    </w:p>
    <w:p>
      <w:pPr>
        <w:pStyle w:val="FirstParagraph"/>
      </w:pPr>
      <w:r>
        <w:t xml:space="preserve">Las partes constituyen domicilio especial y domicilio electrónico en los indicados en el encabezamiento, donde serán válidas todas las notificaciones judiciales y extrajudiciales. Son medios fehacientes la carta documento, el telegrama colacionado y el acta notarial.</w:t>
      </w:r>
    </w:p>
    <w:p>
      <w:pPr>
        <w:pStyle w:val="BodyText"/>
      </w:pPr>
      <w:r>
        <w:t xml:space="preserve">Para toda controversia se someten a los tribunales ordinarios de [JURISDICCIÓN], con renuncia a todo otro fuero.</w:t>
      </w:r>
    </w:p>
    <w:p>
      <w:pPr>
        <w:pStyle w:val="BodyText"/>
      </w:pPr>
      <w:r>
        <w:t xml:space="preserve">Se firman [CANTIDAD: SUGERIDO 2] ejemplares de igual tenor, en [LUGAR], a los [DÍA] días del mes de [MES] de [AÑO]. Se recomienda certificar las firmas ante escribano público, especialmente si el inmueble se usará como domicilio fiscal o si el comodato se extiende por más de un año.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t xml:space="preserve">_____________________________</w:t>
            </w:r>
          </w:p>
        </w:tc>
        <w:tc>
          <w:tcPr/>
          <w:p>
            <w:pPr>
              <w:pStyle w:val="Compact"/>
            </w:pPr>
            <w:r>
              <w:t xml:space="preserve">_____________________________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EL COMODANTE</w:t>
            </w:r>
          </w:p>
        </w:tc>
        <w:tc>
          <w:tcPr/>
          <w:p>
            <w:pPr>
              <w:pStyle w:val="Compact"/>
            </w:pPr>
            <w:r>
              <w:t xml:space="preserve">EL COMODATARIO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5"/>
    <w:bookmarkStart w:id="16" w:name="qué-revisar-antes-de-firmar"/>
    <w:p>
      <w:pPr>
        <w:pStyle w:val="Heading2"/>
      </w:pPr>
      <w:r>
        <w:t xml:space="preserve">Qué revisar antes de firmar</w:t>
      </w:r>
    </w:p>
    <w:p>
      <w:pPr>
        <w:pStyle w:val="FirstParagraph"/>
      </w:pPr>
      <w:r>
        <w:rPr>
          <w:b/>
          <w:bCs/>
        </w:rPr>
        <w:t xml:space="preserve">¿Cómo recupero el inmueble si el comodatario no se va?</w:t>
      </w:r>
      <w:r>
        <w:br/>
      </w:r>
      <w:r>
        <w:t xml:space="preserve">Con el plazo vencido, el ocupante queda como tenedor precario y corresponde la acción de desalojo. Tener plazo y causa por escrito es lo que acorta ese juicio; sin contrato, hay que probar primero que el préstamo era gratuito y temporario.</w:t>
      </w:r>
    </w:p>
    <w:p>
      <w:pPr>
        <w:pStyle w:val="BodyText"/>
      </w:pPr>
      <w:r>
        <w:rPr>
          <w:b/>
          <w:bCs/>
        </w:rPr>
        <w:t xml:space="preserve">¿Puedo pedirlo antes del plazo?</w:t>
      </w:r>
      <w:r>
        <w:br/>
      </w:r>
      <w:r>
        <w:t xml:space="preserve">Sí, si sobreviene una necesidad imprevista y urgente, si el comodatario cambió el destino, si falleció o si incumplió el contrato (artículo 1539). Fuera de esos casos hay que esperar el vencimiento.</w:t>
      </w:r>
    </w:p>
    <w:p>
      <w:pPr>
        <w:pStyle w:val="BodyText"/>
      </w:pPr>
      <w:r>
        <w:rPr>
          <w:b/>
          <w:bCs/>
        </w:rPr>
        <w:t xml:space="preserve">¿Si le cobro las expensas deja de ser comodato?</w:t>
      </w:r>
      <w:r>
        <w:br/>
      </w:r>
      <w:r>
        <w:t xml:space="preserve">No: los gastos ordinarios de uso son a cargo del comodatario por ley. Lo que convierte el comodato en locación es cobrar un precio por el uso. Conviene que el contrato aclare que esos pagos no son canon.</w:t>
      </w:r>
    </w:p>
    <w:p>
      <w:pPr>
        <w:pStyle w:val="BodyText"/>
      </w:pPr>
      <w:r>
        <w:rPr>
          <w:b/>
          <w:bCs/>
        </w:rPr>
        <w:t xml:space="preserve">¿Sirve para dar un domicilio fiscal?</w:t>
      </w:r>
      <w:r>
        <w:br/>
      </w:r>
      <w:r>
        <w:t xml:space="preserve">Sí, es uno de sus usos más frecuentes. Conviene certificar las firmas, aclarar la obligación de dar de baja el domicilio al terminar y dejar al comodante indemne de las notificaciones dirigidas allí.</w:t>
      </w:r>
    </w:p>
    <w:p>
      <w:pPr>
        <w:pStyle w:val="BodyText"/>
      </w:pPr>
      <w:r>
        <w:rPr>
          <w:b/>
          <w:bCs/>
        </w:rPr>
        <w:t xml:space="preserve">¿El comodatario puede alegar que es poseedor y usucapir?</w:t>
      </w:r>
      <w:r>
        <w:br/>
      </w:r>
      <w:r>
        <w:t xml:space="preserve">No si el contrato está firmado: el comodatario es tenedor y reconoce la titularidad del dueño, por lo que no tiene animus domini. Ese reconocimiento escrito es la mejor defensa contra un planteo de prescripción adquisitiva.</w:t>
      </w:r>
    </w:p>
    <w:p>
      <w:r>
        <w:pict>
          <v:rect style="width:0;height:1.5pt" o:hralign="center" o:hrstd="t" o:hr="t"/>
        </w:pict>
      </w:r>
    </w:p>
    <w:bookmarkEnd w:id="16"/>
    <w:bookmarkStart w:id="17" w:name="base-legal"/>
    <w:p>
      <w:pPr>
        <w:pStyle w:val="Heading2"/>
      </w:pPr>
      <w:r>
        <w:t xml:space="preserve">Base legal</w:t>
      </w:r>
    </w:p>
    <w:p>
      <w:pPr>
        <w:pStyle w:val="Compact"/>
        <w:numPr>
          <w:ilvl w:val="0"/>
          <w:numId w:val="1001"/>
        </w:numPr>
      </w:pPr>
      <w:r>
        <w:t xml:space="preserve">Arts. 1533 a 1541 CCyC: comodato.</w:t>
      </w:r>
    </w:p>
    <w:p>
      <w:pPr>
        <w:pStyle w:val="Compact"/>
        <w:numPr>
          <w:ilvl w:val="0"/>
          <w:numId w:val="1001"/>
        </w:numPr>
      </w:pPr>
      <w:r>
        <w:t xml:space="preserve">Art. 1533 CCyC: definición; el comodato es el préstamo gratuito de una cosa no fungible para su uso.</w:t>
      </w:r>
    </w:p>
    <w:p>
      <w:pPr>
        <w:pStyle w:val="Compact"/>
        <w:numPr>
          <w:ilvl w:val="0"/>
          <w:numId w:val="1001"/>
        </w:numPr>
      </w:pPr>
      <w:r>
        <w:t xml:space="preserve">Art. 1536 CCyC: obligaciones del comodatario, incluidos los gastos ordinarios y la responsabilidad por caso fortuito en los supuestos de uso indebido o retención vencida.</w:t>
      </w:r>
    </w:p>
    <w:p>
      <w:pPr>
        <w:pStyle w:val="Compact"/>
        <w:numPr>
          <w:ilvl w:val="0"/>
          <w:numId w:val="1001"/>
        </w:numPr>
      </w:pPr>
      <w:r>
        <w:t xml:space="preserve">Art. 1539 CCyC: restitución anticipada por necesidad imprevista y urgente, uso distinto, muerte del comodatario o incumplimiento.</w:t>
      </w:r>
    </w:p>
    <w:p>
      <w:pPr>
        <w:pStyle w:val="Compact"/>
        <w:numPr>
          <w:ilvl w:val="0"/>
          <w:numId w:val="1001"/>
        </w:numPr>
      </w:pPr>
      <w:r>
        <w:t xml:space="preserve">Art. 1540 CCyC: obligaciones del comodante.</w:t>
      </w:r>
    </w:p>
    <w:p>
      <w:pPr>
        <w:pStyle w:val="Compact"/>
        <w:numPr>
          <w:ilvl w:val="0"/>
          <w:numId w:val="1001"/>
        </w:numPr>
      </w:pPr>
      <w:r>
        <w:t xml:space="preserve">Arts. 1909 y 1910 CCyC: posesión y tenencia; el tenedor reconoce la titularidad en otro.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Descargado de https://ladrillo.info/herramientas/modelos-de-contratos/comodato — Ladrillo.info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eorgia" w:cstheme="minorBidi" w:eastAsiaTheme="minorEastAsia" w:hAnsi="Georgia"/>
        <w:sz w:val="24"/>
        <w:szCs w:val="24"/>
        <w:lang w:bidi="ar-SA" w:eastAsia="zh-CN" w:val="e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1C1A17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1C1A17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1C1A17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1C1A17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1C1A17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1C1A17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1C1A17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1C1A17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1C1A17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1C1A17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1C1A17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1C1A17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es</dc:language>
  <cp:keywords/>
  <dcterms:created xsi:type="dcterms:W3CDTF">2026-10-05T22:51:18Z</dcterms:created>
  <dcterms:modified xsi:type="dcterms:W3CDTF">2026-10-05T22:51:18Z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